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SZ_VERWALTUNGSGERICHT II 2019 68 vom 13. Februar 2020</w:t>
      </w:r>
    </w:p>
    <w:p>
      <w:r>
        <w:t>Sz Verwaltungsgericht, 2020-02-13, DE</w:t>
      </w:r>
    </w:p>
    <w:p>
      <w:r>
        <w:rPr>
          <w:b/>
        </w:rPr>
        <w:t xml:space="preserve">Quelle: </w:t>
      </w:r>
      <w:r>
        <w:t>https://mcp.opencaselaw.ch/entscheid/sz_verwaltungsgericht_II 2019 68</w:t>
      </w:r>
    </w:p>
    <w:p>
      <w:r>
        <w:t>FR: SZ_VERWALTUNGSGERICHT II 2019 68 du 13 février 2020</w:t>
      </w:r>
    </w:p>
    <w:p>
      <w:r>
        <w:t>IT: SZ_VERWALTUNGSGERICHT II 2019 68 del 13 febbraio 2020</w:t>
      </w:r>
    </w:p>
    <w:p>
      <w:pPr>
        <w:pStyle w:val="Heading2"/>
      </w:pPr>
      <w:r>
        <w:t>Regeste</w:t>
      </w:r>
    </w:p>
    <w:p>
      <w:r>
        <w:t>Berufliche Vorsorge (Vorsorgeguthaben der gebundenen Selbstvorsorge) | Berufliche Vorsorge (ohne med. SV)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Unbestritten ist der Bestand des von der Klägerin beanspruchten Vorsorgeguthabens von Fr. 46'600.20 (vgl. Klageantwort S. 3 Rz. 5). Strittig ist hingegen, wer am Vorsorgeguthaben berechtigt ist (vgl. Klageantwort S. 4 Rz. 7). Die Klägerin sieht sich insbesondere gestützt auf Ziff. 7 des Reglements der Beklagten und das Bundesgerichtsurteil 9C_523/2013 vom 28. Januar 2014 (Erw. 4.3 publiziert in BGE 140 V 57 ) berechtigt, die Auszahlung des Vorsorgeguthabens zu verlangen (Klage S. 6 Rz. 21 und S. 7 Rz. 23). Die Beklagte ist der Auffassung, das geltende Gesetz schreibe vor, dass gebundene Vorsorgeguthaben eines Banksparguthabens der Säule 3a an die Erben ausbezahlt werden müssten. Die Klägerin habe das Erbe ausgeschlagen; es sei daher im heutigen Zeitpunkt ohne Verschulden der Beklagten strittig, wer am Vorsorgeguthaben berechtigt sei (Klageantwort S. 3 f. Rz. 5 ff.). \n 2.1.1 Nach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